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3246"/>
        <w:gridCol w:w="4824"/>
        <w:gridCol w:w="2268"/>
      </w:tblGrid>
      <w:tr w:rsidR="00A23F48" w:rsidRPr="0049302E" w14:paraId="30920A1D" w14:textId="77777777" w:rsidTr="65144392">
        <w:trPr>
          <w:trHeight w:val="2805"/>
        </w:trPr>
        <w:tc>
          <w:tcPr>
            <w:tcW w:w="3246" w:type="dxa"/>
            <w:shd w:val="clear" w:color="auto" w:fill="FFEFFF"/>
          </w:tcPr>
          <w:p w14:paraId="78D908C9" w14:textId="363D5039" w:rsidR="008E39B4" w:rsidRPr="0049302E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65144392">
              <w:rPr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3B254A1B" w:rsidR="008E39B4" w:rsidRPr="007C572D" w:rsidRDefault="65144392" w:rsidP="65144392">
            <w:pPr>
              <w:rPr>
                <w:rFonts w:ascii="Calibri" w:eastAsia="Calibri" w:hAnsi="Calibri" w:cs="Calibri"/>
              </w:rPr>
            </w:pPr>
            <w:r w:rsidRPr="65144392">
              <w:rPr>
                <w:rFonts w:ascii="Calibri" w:eastAsia="Calibri" w:hAnsi="Calibri" w:cs="Calibri"/>
              </w:rPr>
              <w:t>Unit 2 allows learners to gain skills and develop an understanding of how a marketing campaign is developed.</w:t>
            </w:r>
          </w:p>
        </w:tc>
        <w:tc>
          <w:tcPr>
            <w:tcW w:w="4824" w:type="dxa"/>
            <w:shd w:val="clear" w:color="auto" w:fill="FFEFFF"/>
          </w:tcPr>
          <w:p w14:paraId="191A053B" w14:textId="77777777" w:rsidR="008E39B4" w:rsidRPr="0049302E" w:rsidRDefault="008E39B4" w:rsidP="003F12D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65144392">
              <w:rPr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B51119A" w14:textId="6B7AF252" w:rsidR="008E39B4" w:rsidRPr="0042137A" w:rsidRDefault="65144392" w:rsidP="0042137A">
            <w:pPr>
              <w:spacing w:after="0" w:line="257" w:lineRule="auto"/>
              <w:rPr>
                <w:rFonts w:ascii="Calibri" w:eastAsia="Calibri" w:hAnsi="Calibri" w:cs="Calibri"/>
              </w:rPr>
            </w:pPr>
            <w:r w:rsidRPr="65144392">
              <w:rPr>
                <w:rFonts w:ascii="Calibri" w:eastAsia="Calibri" w:hAnsi="Calibri" w:cs="Calibri"/>
              </w:rPr>
              <w:t>Unit 2 is taught in Year 13 as the externally assessed unit that runs alongside the coursework based U</w:t>
            </w:r>
            <w:r w:rsidR="0042137A">
              <w:rPr>
                <w:rFonts w:ascii="Calibri" w:eastAsia="Calibri" w:hAnsi="Calibri" w:cs="Calibri"/>
              </w:rPr>
              <w:t xml:space="preserve">nit 8. </w:t>
            </w:r>
            <w:r w:rsidRPr="65144392">
              <w:rPr>
                <w:rFonts w:ascii="Calibri" w:eastAsia="Calibri" w:hAnsi="Calibri" w:cs="Calibri"/>
              </w:rPr>
              <w:t>Unit 2 is a more complex exam</w:t>
            </w:r>
            <w:r w:rsidR="0042137A">
              <w:rPr>
                <w:rFonts w:ascii="Calibri" w:eastAsia="Calibri" w:hAnsi="Calibri" w:cs="Calibri"/>
              </w:rPr>
              <w:t xml:space="preserve"> so learners benefit from </w:t>
            </w:r>
            <w:r w:rsidRPr="65144392">
              <w:rPr>
                <w:rFonts w:ascii="Calibri" w:eastAsia="Calibri" w:hAnsi="Calibri" w:cs="Calibri"/>
              </w:rPr>
              <w:t>year 12</w:t>
            </w:r>
            <w:r w:rsidR="0042137A">
              <w:rPr>
                <w:rFonts w:ascii="Calibri" w:eastAsia="Calibri" w:hAnsi="Calibri" w:cs="Calibri"/>
              </w:rPr>
              <w:t xml:space="preserve"> experience, knowledge and study skills to help complete a more complex exam. </w:t>
            </w:r>
          </w:p>
          <w:p w14:paraId="65827E90" w14:textId="6C313459" w:rsidR="008E39B4" w:rsidRPr="007C572D" w:rsidRDefault="008E39B4" w:rsidP="0042137A">
            <w:pPr>
              <w:spacing w:after="0" w:line="257" w:lineRule="auto"/>
              <w:rPr>
                <w:rFonts w:ascii="Calibri" w:eastAsia="Calibri" w:hAnsi="Calibri" w:cs="Calibri"/>
              </w:rPr>
            </w:pPr>
          </w:p>
          <w:p w14:paraId="4C75361B" w14:textId="7A9CC074" w:rsidR="008E39B4" w:rsidRPr="0042137A" w:rsidRDefault="65144392" w:rsidP="0042137A">
            <w:pPr>
              <w:spacing w:after="0" w:line="257" w:lineRule="auto"/>
            </w:pPr>
            <w:r w:rsidRPr="65144392">
              <w:rPr>
                <w:rFonts w:ascii="Calibri" w:eastAsia="Calibri" w:hAnsi="Calibri" w:cs="Calibri"/>
              </w:rPr>
              <w:t xml:space="preserve">Unit 2 gives an insight </w:t>
            </w:r>
            <w:r w:rsidR="0042137A">
              <w:rPr>
                <w:rFonts w:ascii="Calibri" w:eastAsia="Calibri" w:hAnsi="Calibri" w:cs="Calibri"/>
              </w:rPr>
              <w:t>into how important M</w:t>
            </w:r>
            <w:r w:rsidRPr="65144392">
              <w:rPr>
                <w:rFonts w:ascii="Calibri" w:eastAsia="Calibri" w:hAnsi="Calibri" w:cs="Calibri"/>
              </w:rPr>
              <w:t xml:space="preserve">arketing is to a business. It will enable students to make an informed choice as to whether students want to </w:t>
            </w:r>
            <w:r w:rsidR="0042137A">
              <w:rPr>
                <w:rFonts w:ascii="Calibri" w:eastAsia="Calibri" w:hAnsi="Calibri" w:cs="Calibri"/>
              </w:rPr>
              <w:t>specialise in M</w:t>
            </w:r>
            <w:r w:rsidRPr="65144392">
              <w:rPr>
                <w:rFonts w:ascii="Calibri" w:eastAsia="Calibri" w:hAnsi="Calibri" w:cs="Calibri"/>
              </w:rPr>
              <w:t>arketing in employment, training or higher education.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278052ED" w:rsidR="008E39B4" w:rsidRDefault="008E39B4" w:rsidP="003F12D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65144392">
              <w:rPr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 w:rsidRPr="65144392">
              <w:rPr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3A12B2B6" w14:textId="0B71B1AA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>Marketing Mix</w:t>
            </w:r>
          </w:p>
          <w:p w14:paraId="786789F8" w14:textId="2D517883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>Campaign</w:t>
            </w:r>
          </w:p>
          <w:p w14:paraId="2F7FB7DA" w14:textId="4CDCDCD9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>Rationale</w:t>
            </w:r>
          </w:p>
          <w:p w14:paraId="4149EAEE" w14:textId="2C8974A5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>GANTT</w:t>
            </w:r>
          </w:p>
          <w:p w14:paraId="4B445B14" w14:textId="68D9ADBB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 xml:space="preserve">Budget </w:t>
            </w:r>
          </w:p>
          <w:p w14:paraId="4D3892FB" w14:textId="23E359DD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>Brand</w:t>
            </w:r>
          </w:p>
          <w:p w14:paraId="696CFF19" w14:textId="69C4005F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>Market Share</w:t>
            </w:r>
          </w:p>
          <w:p w14:paraId="2E8884B8" w14:textId="1A71A866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>Viral</w:t>
            </w:r>
          </w:p>
          <w:p w14:paraId="511BB10E" w14:textId="7FD69C6C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>Cash Flow</w:t>
            </w:r>
          </w:p>
          <w:p w14:paraId="45B6B947" w14:textId="77F52D69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>Strapline</w:t>
            </w:r>
          </w:p>
          <w:p w14:paraId="7FFC490D" w14:textId="3C66095B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>Culture</w:t>
            </w:r>
          </w:p>
          <w:p w14:paraId="1278BE36" w14:textId="254EA140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>Disposable Income</w:t>
            </w:r>
          </w:p>
          <w:p w14:paraId="4D8CD709" w14:textId="46313787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>Market Intelligence</w:t>
            </w:r>
          </w:p>
          <w:p w14:paraId="1E23CE5D" w14:textId="096C1A99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>Market Research</w:t>
            </w:r>
          </w:p>
          <w:p w14:paraId="124AD876" w14:textId="260A71A2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>Consumer</w:t>
            </w:r>
          </w:p>
          <w:p w14:paraId="6EE4DD25" w14:textId="79882557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>Prototype</w:t>
            </w:r>
          </w:p>
          <w:p w14:paraId="726CBA84" w14:textId="0FF9BEE1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>Validity</w:t>
            </w:r>
          </w:p>
          <w:p w14:paraId="70F28306" w14:textId="4798D598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>Reliability</w:t>
            </w:r>
          </w:p>
          <w:p w14:paraId="3BE56580" w14:textId="2266E18A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>Aims</w:t>
            </w:r>
          </w:p>
          <w:p w14:paraId="4B855573" w14:textId="5C9CC527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>Objective</w:t>
            </w:r>
          </w:p>
          <w:p w14:paraId="57DBA353" w14:textId="1B5A8A71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>Subjective</w:t>
            </w:r>
          </w:p>
          <w:p w14:paraId="220DD48D" w14:textId="7AD99231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>Slogan</w:t>
            </w:r>
          </w:p>
          <w:p w14:paraId="7EA3CA59" w14:textId="6668C3D6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>Profit</w:t>
            </w:r>
          </w:p>
          <w:p w14:paraId="2D47560A" w14:textId="545DD09D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>Unit Cost</w:t>
            </w:r>
          </w:p>
          <w:p w14:paraId="49147324" w14:textId="492FE286" w:rsidR="008E39B4" w:rsidRPr="0049302E" w:rsidRDefault="65144392" w:rsidP="65144392">
            <w:pPr>
              <w:rPr>
                <w:color w:val="000000" w:themeColor="text1"/>
              </w:rPr>
            </w:pPr>
            <w:r w:rsidRPr="65144392">
              <w:rPr>
                <w:color w:val="000000" w:themeColor="text1"/>
              </w:rPr>
              <w:t>RRP</w:t>
            </w:r>
          </w:p>
        </w:tc>
      </w:tr>
      <w:tr w:rsidR="008E39B4" w:rsidRPr="0049302E" w14:paraId="70713B32" w14:textId="77777777" w:rsidTr="0042137A">
        <w:trPr>
          <w:trHeight w:val="3669"/>
        </w:trPr>
        <w:tc>
          <w:tcPr>
            <w:tcW w:w="8070" w:type="dxa"/>
            <w:gridSpan w:val="2"/>
            <w:shd w:val="clear" w:color="auto" w:fill="FFEFFF"/>
          </w:tcPr>
          <w:p w14:paraId="4A7F86FB" w14:textId="42D16A70" w:rsidR="008E39B4" w:rsidRPr="0049302E" w:rsidRDefault="008E39B4" w:rsidP="0042137A">
            <w:pPr>
              <w:spacing w:after="0"/>
              <w:rPr>
                <w:b/>
                <w:bCs/>
                <w:color w:val="522A5B"/>
                <w:sz w:val="24"/>
                <w:szCs w:val="24"/>
                <w:u w:val="single"/>
              </w:rPr>
            </w:pPr>
            <w:r w:rsidRPr="65144392">
              <w:rPr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3C03DD1" w14:textId="5B08D313" w:rsidR="008E39B4" w:rsidRPr="0049302E" w:rsidRDefault="65144392" w:rsidP="0042137A">
            <w:pPr>
              <w:spacing w:after="0" w:line="257" w:lineRule="auto"/>
            </w:pPr>
            <w:r w:rsidRPr="65144392">
              <w:rPr>
                <w:rFonts w:ascii="Calibri" w:eastAsia="Calibri" w:hAnsi="Calibri" w:cs="Calibri"/>
                <w:b/>
                <w:bCs/>
                <w:u w:val="single"/>
              </w:rPr>
              <w:t>Unit 2 – Developing a Marketing Campaign:</w:t>
            </w:r>
          </w:p>
          <w:p w14:paraId="05F2DF60" w14:textId="6A90281C" w:rsidR="008E39B4" w:rsidRPr="0049302E" w:rsidRDefault="65144392" w:rsidP="0042137A">
            <w:pPr>
              <w:spacing w:after="0" w:line="257" w:lineRule="auto"/>
            </w:pPr>
            <w:r w:rsidRPr="65144392">
              <w:rPr>
                <w:rFonts w:ascii="Calibri" w:eastAsia="Calibri" w:hAnsi="Calibri" w:cs="Calibri"/>
              </w:rPr>
              <w:t xml:space="preserve">Students will explore different stages of the process that a business goes through when developing its campaign and then they will develop their own campaign for a given product or service. </w:t>
            </w:r>
          </w:p>
          <w:p w14:paraId="5AC7862A" w14:textId="439DF474" w:rsidR="008E39B4" w:rsidRPr="0049302E" w:rsidRDefault="008E39B4" w:rsidP="0042137A">
            <w:pPr>
              <w:spacing w:after="0" w:line="257" w:lineRule="auto"/>
              <w:rPr>
                <w:rFonts w:ascii="Calibri" w:eastAsia="Calibri" w:hAnsi="Calibri" w:cs="Calibri"/>
              </w:rPr>
            </w:pPr>
          </w:p>
          <w:p w14:paraId="322124B9" w14:textId="6F2F6E70" w:rsidR="008E39B4" w:rsidRPr="0042137A" w:rsidRDefault="65144392" w:rsidP="0042137A">
            <w:pPr>
              <w:spacing w:after="0" w:line="257" w:lineRule="auto"/>
              <w:rPr>
                <w:rFonts w:ascii="Calibri" w:eastAsia="Calibri" w:hAnsi="Calibri" w:cs="Calibri"/>
              </w:rPr>
            </w:pPr>
            <w:r w:rsidRPr="65144392">
              <w:rPr>
                <w:rFonts w:ascii="Calibri" w:eastAsia="Calibri" w:hAnsi="Calibri" w:cs="Calibri"/>
              </w:rPr>
              <w:t xml:space="preserve">The unit is made up of 3 Learning Aims: </w:t>
            </w:r>
          </w:p>
          <w:p w14:paraId="16C07AF3" w14:textId="5AF85438" w:rsidR="008E39B4" w:rsidRPr="0049302E" w:rsidRDefault="65144392" w:rsidP="65144392">
            <w:pPr>
              <w:spacing w:line="257" w:lineRule="auto"/>
              <w:rPr>
                <w:rFonts w:ascii="Calibri" w:eastAsia="Calibri" w:hAnsi="Calibri" w:cs="Calibri"/>
              </w:rPr>
            </w:pPr>
            <w:r w:rsidRPr="65144392">
              <w:rPr>
                <w:rFonts w:ascii="Calibri" w:eastAsia="Calibri" w:hAnsi="Calibri" w:cs="Calibri"/>
                <w:b/>
                <w:bCs/>
              </w:rPr>
              <w:t>Learning Aim A</w:t>
            </w:r>
            <w:r w:rsidRPr="65144392">
              <w:rPr>
                <w:rFonts w:ascii="Calibri" w:eastAsia="Calibri" w:hAnsi="Calibri" w:cs="Calibri"/>
              </w:rPr>
              <w:t xml:space="preserve"> – Introduction to the principles and purposes of Marketing that underpin the</w:t>
            </w:r>
            <w:r w:rsidR="0042137A">
              <w:rPr>
                <w:rFonts w:ascii="Calibri" w:eastAsia="Calibri" w:hAnsi="Calibri" w:cs="Calibri"/>
              </w:rPr>
              <w:t xml:space="preserve"> creation of a rationale for a M</w:t>
            </w:r>
            <w:r w:rsidRPr="65144392">
              <w:rPr>
                <w:rFonts w:ascii="Calibri" w:eastAsia="Calibri" w:hAnsi="Calibri" w:cs="Calibri"/>
              </w:rPr>
              <w:t xml:space="preserve">arketing campaign </w:t>
            </w:r>
          </w:p>
          <w:p w14:paraId="62759A8B" w14:textId="5C0D5321" w:rsidR="008E39B4" w:rsidRPr="0049302E" w:rsidRDefault="65144392" w:rsidP="65144392">
            <w:pPr>
              <w:spacing w:line="257" w:lineRule="auto"/>
              <w:rPr>
                <w:rFonts w:ascii="Calibri" w:eastAsia="Calibri" w:hAnsi="Calibri" w:cs="Calibri"/>
              </w:rPr>
            </w:pPr>
            <w:r w:rsidRPr="65144392">
              <w:rPr>
                <w:rFonts w:ascii="Calibri" w:eastAsia="Calibri" w:hAnsi="Calibri" w:cs="Calibri"/>
                <w:b/>
                <w:bCs/>
              </w:rPr>
              <w:t>Learning Aim B</w:t>
            </w:r>
            <w:r w:rsidRPr="65144392">
              <w:rPr>
                <w:rFonts w:ascii="Calibri" w:eastAsia="Calibri" w:hAnsi="Calibri" w:cs="Calibri"/>
              </w:rPr>
              <w:t xml:space="preserve"> – Using information </w:t>
            </w:r>
            <w:r w:rsidR="0042137A">
              <w:rPr>
                <w:rFonts w:ascii="Calibri" w:eastAsia="Calibri" w:hAnsi="Calibri" w:cs="Calibri"/>
              </w:rPr>
              <w:t>to develop the rationale for a M</w:t>
            </w:r>
            <w:r w:rsidRPr="65144392">
              <w:rPr>
                <w:rFonts w:ascii="Calibri" w:eastAsia="Calibri" w:hAnsi="Calibri" w:cs="Calibri"/>
              </w:rPr>
              <w:t xml:space="preserve">arketing campaign </w:t>
            </w:r>
          </w:p>
          <w:p w14:paraId="704CD9BE" w14:textId="6E4533C1" w:rsidR="008E39B4" w:rsidRPr="0049302E" w:rsidRDefault="65144392" w:rsidP="65144392">
            <w:pPr>
              <w:spacing w:line="257" w:lineRule="auto"/>
              <w:rPr>
                <w:rFonts w:ascii="Calibri" w:eastAsia="Calibri" w:hAnsi="Calibri" w:cs="Calibri"/>
              </w:rPr>
            </w:pPr>
            <w:r w:rsidRPr="65144392">
              <w:rPr>
                <w:rFonts w:ascii="Calibri" w:eastAsia="Calibri" w:hAnsi="Calibri" w:cs="Calibri"/>
                <w:b/>
                <w:bCs/>
              </w:rPr>
              <w:t>Learning Aim C</w:t>
            </w:r>
            <w:r w:rsidRPr="65144392">
              <w:rPr>
                <w:rFonts w:ascii="Calibri" w:eastAsia="Calibri" w:hAnsi="Calibri" w:cs="Calibri"/>
              </w:rPr>
              <w:t xml:space="preserve"> – Planning and Developing a</w:t>
            </w:r>
            <w:r w:rsidR="0042137A">
              <w:rPr>
                <w:rFonts w:ascii="Calibri" w:eastAsia="Calibri" w:hAnsi="Calibri" w:cs="Calibri"/>
              </w:rPr>
              <w:t xml:space="preserve"> M</w:t>
            </w:r>
            <w:r w:rsidRPr="65144392">
              <w:rPr>
                <w:rFonts w:ascii="Calibri" w:eastAsia="Calibri" w:hAnsi="Calibri" w:cs="Calibri"/>
              </w:rPr>
              <w:t>arketing campaign.</w:t>
            </w:r>
          </w:p>
        </w:tc>
        <w:tc>
          <w:tcPr>
            <w:tcW w:w="2268" w:type="dxa"/>
            <w:vMerge/>
          </w:tcPr>
          <w:p w14:paraId="4F4A4CCD" w14:textId="77777777" w:rsidR="008E39B4" w:rsidRPr="0049302E" w:rsidRDefault="008E39B4" w:rsidP="003F12D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49302E" w14:paraId="41DD1A54" w14:textId="77777777" w:rsidTr="65144392">
        <w:trPr>
          <w:trHeight w:val="1320"/>
        </w:trPr>
        <w:tc>
          <w:tcPr>
            <w:tcW w:w="8070" w:type="dxa"/>
            <w:gridSpan w:val="2"/>
            <w:shd w:val="clear" w:color="auto" w:fill="FFEFFF"/>
          </w:tcPr>
          <w:p w14:paraId="1758388D" w14:textId="6ED38EC4" w:rsidR="008E39B4" w:rsidRPr="0049302E" w:rsidRDefault="008E39B4" w:rsidP="0042137A">
            <w:pPr>
              <w:spacing w:after="0"/>
              <w:rPr>
                <w:b/>
                <w:bCs/>
                <w:color w:val="522A5B"/>
                <w:sz w:val="24"/>
                <w:szCs w:val="24"/>
                <w:u w:val="single"/>
              </w:rPr>
            </w:pPr>
            <w:r w:rsidRPr="1E6838D4">
              <w:rPr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5B643BC1" w:rsidR="008E39B4" w:rsidRPr="0049302E" w:rsidRDefault="1E6838D4" w:rsidP="0042137A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5144392">
              <w:rPr>
                <w:rFonts w:ascii="Calibri" w:eastAsia="Calibri" w:hAnsi="Calibri" w:cs="Calibri"/>
              </w:rPr>
              <w:t xml:space="preserve">During </w:t>
            </w:r>
            <w:r w:rsidR="0042137A">
              <w:rPr>
                <w:rFonts w:ascii="Calibri" w:eastAsia="Calibri" w:hAnsi="Calibri" w:cs="Calibri"/>
              </w:rPr>
              <w:t>theory</w:t>
            </w:r>
            <w:r w:rsidRPr="65144392">
              <w:rPr>
                <w:rFonts w:ascii="Calibri" w:eastAsia="Calibri" w:hAnsi="Calibri" w:cs="Calibri"/>
              </w:rPr>
              <w:t xml:space="preserve"> deliver</w:t>
            </w:r>
            <w:r w:rsidR="0042137A">
              <w:rPr>
                <w:rFonts w:ascii="Calibri" w:eastAsia="Calibri" w:hAnsi="Calibri" w:cs="Calibri"/>
              </w:rPr>
              <w:t xml:space="preserve">y for each of the Learning Aims, </w:t>
            </w:r>
            <w:r w:rsidRPr="65144392">
              <w:rPr>
                <w:rFonts w:ascii="Calibri" w:eastAsia="Calibri" w:hAnsi="Calibri" w:cs="Calibri"/>
              </w:rPr>
              <w:t xml:space="preserve">students will have the opportunity to do additional case study research to enrich their studies and provide additional context to embed their learning. </w:t>
            </w:r>
          </w:p>
        </w:tc>
        <w:tc>
          <w:tcPr>
            <w:tcW w:w="2268" w:type="dxa"/>
            <w:vMerge/>
          </w:tcPr>
          <w:p w14:paraId="20C1B22D" w14:textId="77777777" w:rsidR="008E39B4" w:rsidRPr="0049302E" w:rsidRDefault="008E39B4" w:rsidP="003F12D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49302E" w14:paraId="08B85AF4" w14:textId="77777777" w:rsidTr="65144392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4CF6F6C0" w14:textId="494E0E90" w:rsidR="00811F13" w:rsidRPr="0049302E" w:rsidRDefault="009B0C21" w:rsidP="0042137A">
            <w:pPr>
              <w:spacing w:after="0"/>
              <w:rPr>
                <w:b/>
                <w:bCs/>
                <w:color w:val="461E64"/>
                <w:sz w:val="24"/>
                <w:szCs w:val="24"/>
                <w:u w:val="single"/>
              </w:rPr>
            </w:pPr>
            <w:r w:rsidRPr="65144392">
              <w:rPr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7E5BDB41" w:rsidR="00811F13" w:rsidRPr="0049302E" w:rsidRDefault="65144392" w:rsidP="007E2929">
            <w:pPr>
              <w:spacing w:after="0" w:line="257" w:lineRule="auto"/>
            </w:pPr>
            <w:r w:rsidRPr="65144392">
              <w:rPr>
                <w:rFonts w:ascii="Calibri" w:eastAsia="Calibri" w:hAnsi="Calibri" w:cs="Calibri"/>
              </w:rPr>
              <w:t>This unit is assessed u</w:t>
            </w:r>
            <w:r w:rsidR="0042137A">
              <w:rPr>
                <w:rFonts w:ascii="Calibri" w:eastAsia="Calibri" w:hAnsi="Calibri" w:cs="Calibri"/>
              </w:rPr>
              <w:t>nder supervised conditions for P</w:t>
            </w:r>
            <w:r w:rsidRPr="65144392">
              <w:rPr>
                <w:rFonts w:ascii="Calibri" w:eastAsia="Calibri" w:hAnsi="Calibri" w:cs="Calibri"/>
              </w:rPr>
              <w:t>art A and Part B over 2</w:t>
            </w:r>
            <w:r w:rsidR="0042137A">
              <w:rPr>
                <w:rFonts w:ascii="Calibri" w:eastAsia="Calibri" w:hAnsi="Calibri" w:cs="Calibri"/>
              </w:rPr>
              <w:t xml:space="preserve"> consecutive days. For Part A, l</w:t>
            </w:r>
            <w:r w:rsidRPr="65144392">
              <w:rPr>
                <w:rFonts w:ascii="Calibri" w:eastAsia="Calibri" w:hAnsi="Calibri" w:cs="Calibri"/>
              </w:rPr>
              <w:t>earn</w:t>
            </w:r>
            <w:r w:rsidR="0042137A">
              <w:rPr>
                <w:rFonts w:ascii="Calibri" w:eastAsia="Calibri" w:hAnsi="Calibri" w:cs="Calibri"/>
              </w:rPr>
              <w:t xml:space="preserve">ers will be given a </w:t>
            </w:r>
            <w:r w:rsidRPr="65144392">
              <w:rPr>
                <w:rFonts w:ascii="Calibri" w:eastAsia="Calibri" w:hAnsi="Calibri" w:cs="Calibri"/>
              </w:rPr>
              <w:t>Research Pack with a 2</w:t>
            </w:r>
            <w:r w:rsidR="0042137A">
              <w:rPr>
                <w:rFonts w:ascii="Calibri" w:eastAsia="Calibri" w:hAnsi="Calibri" w:cs="Calibri"/>
              </w:rPr>
              <w:t xml:space="preserve">-hour supervised window, allowing them to create a research document to help them with their marketing campaign. </w:t>
            </w:r>
            <w:r w:rsidR="007E2929">
              <w:rPr>
                <w:rFonts w:ascii="Calibri" w:eastAsia="Calibri" w:hAnsi="Calibri" w:cs="Calibri"/>
              </w:rPr>
              <w:t xml:space="preserve">Part B is a 3 hour supervised period where students use the research from Part A to create their marketing campaign. </w:t>
            </w:r>
            <w:bookmarkStart w:id="0" w:name="_GoBack"/>
            <w:bookmarkEnd w:id="0"/>
          </w:p>
        </w:tc>
        <w:tc>
          <w:tcPr>
            <w:tcW w:w="2268" w:type="dxa"/>
            <w:vMerge/>
          </w:tcPr>
          <w:p w14:paraId="048BF811" w14:textId="77777777" w:rsidR="008E39B4" w:rsidRPr="0049302E" w:rsidRDefault="008E39B4" w:rsidP="003F12D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3F12D9" w:rsidRDefault="003F12D9" w:rsidP="008E39B4"/>
    <w:sectPr w:rsidR="003F12D9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8B0BD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15FCE8F4" w14:textId="77777777" w:rsidR="002B0167" w:rsidRDefault="002B0167" w:rsidP="00017B74">
      <w:pPr>
        <w:spacing w:after="0" w:line="240" w:lineRule="auto"/>
      </w:pPr>
      <w:r>
        <w:continuationSeparator/>
      </w:r>
    </w:p>
  </w:endnote>
  <w:endnote w:type="continuationNotice" w:id="1">
    <w:p w14:paraId="5EE92C92" w14:textId="77777777" w:rsidR="001068A3" w:rsidRDefault="001068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C8867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4AE0569D" w14:textId="77777777" w:rsidR="002B0167" w:rsidRDefault="002B0167" w:rsidP="00017B74">
      <w:pPr>
        <w:spacing w:after="0" w:line="240" w:lineRule="auto"/>
      </w:pPr>
      <w:r>
        <w:continuationSeparator/>
      </w:r>
    </w:p>
  </w:footnote>
  <w:footnote w:type="continuationNotice" w:id="1">
    <w:p w14:paraId="6F35E0D7" w14:textId="77777777" w:rsidR="001068A3" w:rsidRDefault="001068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43B43"/>
    <w:rsid w:val="00064B72"/>
    <w:rsid w:val="0007415F"/>
    <w:rsid w:val="00077018"/>
    <w:rsid w:val="000C52B9"/>
    <w:rsid w:val="000EC8E2"/>
    <w:rsid w:val="001068A3"/>
    <w:rsid w:val="001E054D"/>
    <w:rsid w:val="002B0167"/>
    <w:rsid w:val="0034119B"/>
    <w:rsid w:val="00342C31"/>
    <w:rsid w:val="003E6B6F"/>
    <w:rsid w:val="003F12D9"/>
    <w:rsid w:val="0042137A"/>
    <w:rsid w:val="00440E6C"/>
    <w:rsid w:val="00477E85"/>
    <w:rsid w:val="0048201A"/>
    <w:rsid w:val="00487E07"/>
    <w:rsid w:val="0049033B"/>
    <w:rsid w:val="0049302E"/>
    <w:rsid w:val="004A6A82"/>
    <w:rsid w:val="00543586"/>
    <w:rsid w:val="00585FE2"/>
    <w:rsid w:val="005E07F8"/>
    <w:rsid w:val="005F4E99"/>
    <w:rsid w:val="006B2688"/>
    <w:rsid w:val="007146EF"/>
    <w:rsid w:val="00720479"/>
    <w:rsid w:val="007B4949"/>
    <w:rsid w:val="007C572D"/>
    <w:rsid w:val="007D5133"/>
    <w:rsid w:val="007D592F"/>
    <w:rsid w:val="007E2929"/>
    <w:rsid w:val="00811F13"/>
    <w:rsid w:val="0081788F"/>
    <w:rsid w:val="0083335D"/>
    <w:rsid w:val="00847F4E"/>
    <w:rsid w:val="00867D25"/>
    <w:rsid w:val="008B1952"/>
    <w:rsid w:val="008E39B4"/>
    <w:rsid w:val="00902D62"/>
    <w:rsid w:val="009160B8"/>
    <w:rsid w:val="0095456E"/>
    <w:rsid w:val="00994E35"/>
    <w:rsid w:val="009B0C21"/>
    <w:rsid w:val="009F1DCF"/>
    <w:rsid w:val="00A23F48"/>
    <w:rsid w:val="00A314F1"/>
    <w:rsid w:val="00B0424D"/>
    <w:rsid w:val="00B12F16"/>
    <w:rsid w:val="00B238B2"/>
    <w:rsid w:val="00B645FB"/>
    <w:rsid w:val="00BA3A99"/>
    <w:rsid w:val="00BA646E"/>
    <w:rsid w:val="00BF777F"/>
    <w:rsid w:val="00C46615"/>
    <w:rsid w:val="00C81BB2"/>
    <w:rsid w:val="00C83F51"/>
    <w:rsid w:val="00CA59AB"/>
    <w:rsid w:val="00CE3B7D"/>
    <w:rsid w:val="00D23221"/>
    <w:rsid w:val="00D7EC33"/>
    <w:rsid w:val="00DA7774"/>
    <w:rsid w:val="00DB0006"/>
    <w:rsid w:val="00DC23A5"/>
    <w:rsid w:val="00E5371A"/>
    <w:rsid w:val="00F43D58"/>
    <w:rsid w:val="00F9765D"/>
    <w:rsid w:val="00FB7D5A"/>
    <w:rsid w:val="00FE1C68"/>
    <w:rsid w:val="023A620B"/>
    <w:rsid w:val="05F638CC"/>
    <w:rsid w:val="063C3BA0"/>
    <w:rsid w:val="07939CC4"/>
    <w:rsid w:val="0AB00573"/>
    <w:rsid w:val="0C5E7C09"/>
    <w:rsid w:val="0D9D46DE"/>
    <w:rsid w:val="0E57AF48"/>
    <w:rsid w:val="105F401C"/>
    <w:rsid w:val="111F46F7"/>
    <w:rsid w:val="145EAF4E"/>
    <w:rsid w:val="15FA7FAF"/>
    <w:rsid w:val="166658FF"/>
    <w:rsid w:val="16D1C141"/>
    <w:rsid w:val="16F47458"/>
    <w:rsid w:val="17FE918E"/>
    <w:rsid w:val="1837EC17"/>
    <w:rsid w:val="1911307F"/>
    <w:rsid w:val="1BC48B7C"/>
    <w:rsid w:val="1CB8DA54"/>
    <w:rsid w:val="1D175E47"/>
    <w:rsid w:val="1E6838D4"/>
    <w:rsid w:val="1E7D3CE9"/>
    <w:rsid w:val="218C4B77"/>
    <w:rsid w:val="26236F9F"/>
    <w:rsid w:val="270D1D40"/>
    <w:rsid w:val="28C5C5CE"/>
    <w:rsid w:val="2AE79E29"/>
    <w:rsid w:val="2AF8D136"/>
    <w:rsid w:val="2C6C4C46"/>
    <w:rsid w:val="2CEFB8F7"/>
    <w:rsid w:val="2D97F936"/>
    <w:rsid w:val="2E081CA7"/>
    <w:rsid w:val="326B6A59"/>
    <w:rsid w:val="34073ABA"/>
    <w:rsid w:val="365C2C22"/>
    <w:rsid w:val="3FC1FE58"/>
    <w:rsid w:val="40456B09"/>
    <w:rsid w:val="40F1C302"/>
    <w:rsid w:val="435679D1"/>
    <w:rsid w:val="44254C0A"/>
    <w:rsid w:val="4562B2D6"/>
    <w:rsid w:val="468A332E"/>
    <w:rsid w:val="48160DD3"/>
    <w:rsid w:val="489A5398"/>
    <w:rsid w:val="490A5CAB"/>
    <w:rsid w:val="495CF4C1"/>
    <w:rsid w:val="4968E09E"/>
    <w:rsid w:val="4A948D8E"/>
    <w:rsid w:val="4B11ED7F"/>
    <w:rsid w:val="4BD1F45A"/>
    <w:rsid w:val="4C41FD6D"/>
    <w:rsid w:val="4D28389C"/>
    <w:rsid w:val="4DC611CA"/>
    <w:rsid w:val="4E498E41"/>
    <w:rsid w:val="4FB2F8B8"/>
    <w:rsid w:val="52C0A8C8"/>
    <w:rsid w:val="55E8DFB3"/>
    <w:rsid w:val="5C02ABDF"/>
    <w:rsid w:val="5D9E7C40"/>
    <w:rsid w:val="5E8A51AD"/>
    <w:rsid w:val="5EBCECB0"/>
    <w:rsid w:val="5F2D1021"/>
    <w:rsid w:val="5FCF793F"/>
    <w:rsid w:val="602A2C62"/>
    <w:rsid w:val="63F49567"/>
    <w:rsid w:val="64D58C34"/>
    <w:rsid w:val="65144392"/>
    <w:rsid w:val="68BACA0A"/>
    <w:rsid w:val="69A8FD57"/>
    <w:rsid w:val="6BAD0F36"/>
    <w:rsid w:val="6C9664B3"/>
    <w:rsid w:val="6CB1CF97"/>
    <w:rsid w:val="6D4401C7"/>
    <w:rsid w:val="70A13B32"/>
    <w:rsid w:val="73AAA4EA"/>
    <w:rsid w:val="76135647"/>
    <w:rsid w:val="77A6EAA6"/>
    <w:rsid w:val="79C4B0C7"/>
    <w:rsid w:val="79D1ED47"/>
    <w:rsid w:val="7B41EF16"/>
    <w:rsid w:val="7BCB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3D1FD1"/>
  <w15:chartTrackingRefBased/>
  <w15:docId w15:val="{1BDAD80F-65B2-4164-9B79-136A74BD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BF7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CE217280FDA4F915D3F45A704C5C9" ma:contentTypeVersion="14" ma:contentTypeDescription="Create a new document." ma:contentTypeScope="" ma:versionID="76b4ffd767525774c64e5bfc22892fe0">
  <xsd:schema xmlns:xsd="http://www.w3.org/2001/XMLSchema" xmlns:xs="http://www.w3.org/2001/XMLSchema" xmlns:p="http://schemas.microsoft.com/office/2006/metadata/properties" xmlns:ns3="35818081-bca2-4bd4-854d-6ba26da810c3" xmlns:ns4="3e044cb3-0846-4a39-8369-da1e000195f9" targetNamespace="http://schemas.microsoft.com/office/2006/metadata/properties" ma:root="true" ma:fieldsID="cb5681a617fa6bab85727ba5d07cf10a" ns3:_="" ns4:_="">
    <xsd:import namespace="35818081-bca2-4bd4-854d-6ba26da810c3"/>
    <xsd:import namespace="3e044cb3-0846-4a39-8369-da1e00019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1-bca2-4bd4-854d-6ba26da81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4cb3-0846-4a39-8369-da1e0001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DC86B-436F-4F0A-8305-8338173F1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18081-bca2-4bd4-854d-6ba26da810c3"/>
    <ds:schemaRef ds:uri="3e044cb3-0846-4a39-8369-da1e00019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35818081-bca2-4bd4-854d-6ba26da810c3"/>
    <ds:schemaRef ds:uri="http://schemas.openxmlformats.org/package/2006/metadata/core-properties"/>
    <ds:schemaRef ds:uri="3e044cb3-0846-4a39-8369-da1e000195f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KTyler</cp:lastModifiedBy>
  <cp:revision>3</cp:revision>
  <dcterms:created xsi:type="dcterms:W3CDTF">2022-06-06T13:29:00Z</dcterms:created>
  <dcterms:modified xsi:type="dcterms:W3CDTF">2022-06-06T14:04:00Z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0x0101004B3CE217280FDA4F915D3F45A704C5C9</vt:lpwstr>
  </property>
</Properties>
</file>